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8F" w:rsidRPr="008D628F" w:rsidRDefault="00A01CDD" w:rsidP="00A01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налитическая справка качества психолого-педагогических условий реализации дошкольного образования 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D628F" w:rsidRPr="008D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="00E5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БДОУ «Детский сад комбини</w:t>
      </w:r>
      <w:r w:rsidR="00CB1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рованного вида п.Чагода» за 2022-2023</w:t>
      </w:r>
      <w:r w:rsidR="008D628F" w:rsidRPr="008D6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Информационная справка.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комбинированного вида п.Чагода» располагается  в типовых зданиях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</w:t>
      </w:r>
      <w:r w:rsidR="00E5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Вологодская область, Чагодощенский район, п.Чагода, ул.Кирова -1, Советская 16 Ж, Центральная 10. 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  ДОУ Пушкина С.В.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работает в режиме</w:t>
      </w:r>
      <w:r w:rsidRPr="008D628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 </w:t>
      </w:r>
      <w:r w:rsidRPr="008D628F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- </w:t>
      </w:r>
      <w:r w:rsidR="00E5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7.30 до 17.30</w:t>
      </w: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(кроме выходных и праздничных дней). В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2021-2022</w:t>
      </w:r>
      <w:r w:rsidR="0013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функционировало 16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с общим количеством 367 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 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оснащено соответствующим оборудованием, нормативно-техническими средствами обучения.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Имеются функциональные помещения:        </w:t>
      </w:r>
    </w:p>
    <w:p w:rsidR="008D628F" w:rsidRPr="008D628F" w:rsidRDefault="008D628F" w:rsidP="008D62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Спальные комнаты, групповые комнаты.</w:t>
      </w:r>
    </w:p>
    <w:p w:rsidR="008D628F" w:rsidRPr="008D628F" w:rsidRDefault="008D628F" w:rsidP="008D62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заведующего, методический кабинет, кабинет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логопедов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 заведующего хозяйственной </w:t>
      </w:r>
      <w:r w:rsidR="00E5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частью, кабинет психолога, кабинеты музыкальных руководителей.</w:t>
      </w:r>
    </w:p>
    <w:p w:rsidR="008D628F" w:rsidRPr="008D628F" w:rsidRDefault="008D628F" w:rsidP="008D62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кабинет.</w:t>
      </w:r>
    </w:p>
    <w:p w:rsidR="008D628F" w:rsidRPr="008D628F" w:rsidRDefault="00E517C8" w:rsidP="008D62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  музыкальный зал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оснащен разным оборудованием для двигательной и игровой активности, спортивным инвентарем, музыкальными инструментами.</w:t>
      </w:r>
    </w:p>
    <w:p w:rsidR="008D628F" w:rsidRPr="008D628F" w:rsidRDefault="008D628F" w:rsidP="008D62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Прачечная, пищеблок, кладовая.</w:t>
      </w:r>
    </w:p>
    <w:p w:rsidR="008D628F" w:rsidRPr="008D628F" w:rsidRDefault="00E517C8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«Детский сад комбинированного вида п.Чагода» 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всем гигиеническим и санитарным требованиям: требования к условиям и режиму воспитания и обучения  детей  в ДОУ выполняются, санитарно-гигиеническое состояние, температурный и световой режим соответствует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СанПиН. 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 количестве  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закрепленные за каждой группой огороды).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Аналитическая часть.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7D5" w:rsidRDefault="00B52CF3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</w:t>
      </w:r>
      <w:r w:rsidR="00CB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была поставлена </w:t>
      </w:r>
      <w:r w:rsidR="008D628F"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проживания ребенком дошкольного детства, непрерывного накопления культурного опыта деятельности и общения в процессе активного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окружающей средой, общения с другими детьми и взрослыми, в соответсвии с возрастными и индивидуальными особенностями, обеспечение безопасности жизнедеятельности дошкольников.</w:t>
      </w:r>
    </w:p>
    <w:p w:rsid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Педагогическая работа дошкольного учреждения была направлена на решение следующих годовых </w:t>
      </w: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37D5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B52CF3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подготовки воспитанников к школьному обучению.</w:t>
      </w:r>
    </w:p>
    <w:p w:rsidR="00B52CF3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обогащать речь воспитанников посредством различных видов деятельности.</w:t>
      </w:r>
    </w:p>
    <w:p w:rsidR="00B52CF3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дошкольников посредством театрализованной деятельности.</w:t>
      </w:r>
    </w:p>
    <w:p w:rsidR="00B52CF3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для создания условий для детей с ОВЗ и инвалидностью.</w:t>
      </w:r>
    </w:p>
    <w:p w:rsidR="00B52CF3" w:rsidRPr="00B52CF3" w:rsidRDefault="00B52CF3" w:rsidP="00B52CF3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564BE4" w:rsidRPr="005737D5" w:rsidRDefault="00564BE4" w:rsidP="00564BE4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28F" w:rsidRPr="008D628F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методической работы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right="25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педагогического мастерства.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профессиональной компетентности участников образовательного процесса.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потребности педагогов в самообразовании.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="00D5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ДОУ в 2022-2023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D628F" w:rsidRPr="008D628F" w:rsidRDefault="008D628F" w:rsidP="008D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8D628F" w:rsidRPr="00884A89" w:rsidRDefault="008D628F" w:rsidP="008D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технологии проектирования в деятельность ДОУ в условиях реализации ФГОС.</w:t>
      </w:r>
    </w:p>
    <w:p w:rsidR="00884A89" w:rsidRPr="008D628F" w:rsidRDefault="00884A89" w:rsidP="008D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речевого развития дошкольников </w:t>
      </w:r>
    </w:p>
    <w:p w:rsidR="008D628F" w:rsidRPr="008D628F" w:rsidRDefault="008D628F" w:rsidP="008D62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качество профессионального уровня </w:t>
      </w:r>
      <w:r w:rsidR="00564BE4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в условиях реализации ФГОС.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методической работы: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Традиционные: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педсоветы;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семинары;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над темами самообразования;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 и их анализ;</w:t>
      </w:r>
    </w:p>
    <w:p w:rsidR="008D628F" w:rsidRPr="008D628F" w:rsidRDefault="008D628F" w:rsidP="008D628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конкурсах.</w:t>
      </w:r>
    </w:p>
    <w:p w:rsidR="008D628F" w:rsidRPr="008D628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Инновационные:</w:t>
      </w:r>
    </w:p>
    <w:p w:rsidR="008D628F" w:rsidRPr="008D628F" w:rsidRDefault="00564BE4" w:rsidP="008D628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проблемных групп</w:t>
      </w:r>
    </w:p>
    <w:p w:rsidR="008D628F" w:rsidRPr="008D628F" w:rsidRDefault="008D628F" w:rsidP="008D628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8D628F" w:rsidRPr="008D628F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Высшей формой методической работы является педагогический совет. В </w:t>
      </w:r>
      <w:r w:rsidR="0056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комбинированного вида п.Чагода»</w:t>
      </w:r>
      <w:r w:rsidRPr="008D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педагогические советы, которые включают теоретический материал: (доклады, сообщения, аналитический </w:t>
      </w:r>
      <w:r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материал, анализ состояния работы по направлениям, итоги диагностики и мониторинга, рефлексивные тренинги для педагогов, методические рекомендации).</w:t>
      </w:r>
    </w:p>
    <w:p w:rsidR="008D628F" w:rsidRPr="008D628F" w:rsidRDefault="00D56C4B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2022-2023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были подготовлены и проведены </w:t>
      </w:r>
      <w:r w:rsidR="008D628F" w:rsidRPr="008D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педагогические советы: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628F" w:rsidRPr="008D628F" w:rsidRDefault="00D56C4B" w:rsidP="008D6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 2022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 проведён </w:t>
      </w:r>
      <w:r w:rsidR="008D628F" w:rsidRPr="008D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установочный педагогический совет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 состоялось подведение итогов л</w:t>
      </w:r>
      <w:r w:rsidR="0011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етней оздоровительной кампании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были озвучены задачи и перспективы развития дошкольного учреждения на следующий учебный год, утверждены план учебно-воспи</w:t>
      </w:r>
      <w:r w:rsidR="0011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тательной работы, расписание </w:t>
      </w:r>
      <w:r w:rsidR="008D628F" w:rsidRPr="008D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 рабочие программы воспитательно-образовательного процесса, план работы по повышению уровня квалификации педагогов: аттестация, самообразование, курсовая переподготовка; были подведены итоги смотра-конкурса на лучшее оформление групповой комнаты к новому учебному году; был проведен инструктаж по ТБ и охране жизни и здоровья детей.</w:t>
      </w:r>
    </w:p>
    <w:p w:rsidR="008D628F" w:rsidRPr="00374963" w:rsidRDefault="00D56C4B" w:rsidP="008D6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в ноябре 2022 года  проведен педагогический совет по теме «Театрализованная деятельность в современном ДОО с учетом требований ФГОС ДО»</w:t>
      </w:r>
      <w:r w:rsidR="0085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по активизации работы по направлению «театрализация»</w:t>
      </w:r>
    </w:p>
    <w:p w:rsidR="006E136F" w:rsidRPr="00374963" w:rsidRDefault="006E136F" w:rsidP="008D6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педсовете в </w:t>
      </w:r>
      <w:r w:rsidR="00851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2023</w:t>
      </w:r>
      <w:r w:rsidR="008D628F" w:rsidRPr="0037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теме: </w:t>
      </w:r>
      <w:r w:rsidR="00851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«Использование педагогического ресурса в речевом развитии дошкольника</w:t>
      </w:r>
      <w:r w:rsidR="008D628F" w:rsidRPr="0037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D628F" w:rsidRPr="00374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4963" w:rsidRPr="00374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 решение продолжить работу по совершенствованию форм и метод</w:t>
      </w:r>
      <w:r w:rsidR="00851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работы педагогического коллектива по развитию речи дошкольников.</w:t>
      </w:r>
    </w:p>
    <w:p w:rsidR="008D628F" w:rsidRPr="005E1798" w:rsidRDefault="008D628F" w:rsidP="008D62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Заключительный педсовет</w:t>
      </w:r>
      <w:r w:rsidR="008519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состоялся в мае 2023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 где были подведены итоги воспитательно-образовательной работы за учебный </w:t>
      </w:r>
      <w:r w:rsidR="006E136F"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 проанализировала выполнение решений педсоветов. Информационную справку о готовности детей к обучению в школе по</w:t>
      </w:r>
      <w:r w:rsidR="005E1798"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дготовила педагог психолог, итоги работы методических объединений детского сада представили руководители МО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обсуждение и корректировку был вынесен план летней оздоров</w:t>
      </w:r>
      <w:r w:rsidR="005E1798"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ительной кампании. </w:t>
      </w:r>
    </w:p>
    <w:p w:rsidR="008D628F" w:rsidRPr="005E1798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формой повышения педагогического уровня педагогов являются </w:t>
      </w:r>
      <w:r w:rsidRPr="005E1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консультации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отметить, что в этом учебном году расширился круг тематики консульт</w:t>
      </w:r>
      <w:r w:rsidR="005E1798"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аций: подготовк</w:t>
      </w:r>
      <w:r w:rsidR="00C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1798"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старшего дошкольного возраста к обучению в школе, формирование интереса детей и родителей к физической культуре и ЗОЖ, с пальчиками играем речь развиваем.</w:t>
      </w:r>
    </w:p>
    <w:p w:rsidR="008D628F" w:rsidRPr="00332462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Открытые просмот</w:t>
      </w:r>
      <w:r w:rsidR="005E1798" w:rsidRPr="005E1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ры </w:t>
      </w:r>
      <w:r w:rsidRPr="005E1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образовательной деятельности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</w:t>
      </w: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самим педагогам включаться в процесс 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качеством образования.</w:t>
      </w:r>
    </w:p>
    <w:p w:rsidR="008D628F" w:rsidRPr="00332462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 </w:t>
      </w:r>
      <w:r w:rsidRPr="00332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контроля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28F" w:rsidRPr="000A5C25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Были осуществлены:</w:t>
      </w:r>
    </w:p>
    <w:p w:rsidR="008D628F" w:rsidRPr="000A5C25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Оперативный контроль:</w:t>
      </w:r>
    </w:p>
    <w:p w:rsidR="008D628F" w:rsidRPr="000A5C25" w:rsidRDefault="000A5C25" w:rsidP="008D628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утренних гимнастик</w:t>
      </w:r>
    </w:p>
    <w:p w:rsidR="008D628F" w:rsidRPr="000A5C25" w:rsidRDefault="008D628F" w:rsidP="008D628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0A5C25"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</w:t>
      </w:r>
    </w:p>
    <w:p w:rsidR="008D628F" w:rsidRPr="000A5C25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Предупредительный контроль:</w:t>
      </w:r>
    </w:p>
    <w:p w:rsidR="008D628F" w:rsidRPr="000A5C25" w:rsidRDefault="008D628F" w:rsidP="008D62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 детей.</w:t>
      </w:r>
    </w:p>
    <w:p w:rsidR="008D628F" w:rsidRPr="000A5C25" w:rsidRDefault="008D628F" w:rsidP="008D628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знаний, умений, навыков у детей.</w:t>
      </w:r>
    </w:p>
    <w:p w:rsidR="008D628F" w:rsidRPr="000A5C25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Тематический:</w:t>
      </w:r>
    </w:p>
    <w:p w:rsidR="008D628F" w:rsidRPr="000A5C25" w:rsidRDefault="000A5C25" w:rsidP="008D628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«Эффективность проводимой работы по формированию правильной речи у детей старшего дошкольного возраста в ц</w:t>
      </w:r>
      <w:r w:rsidR="00A357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успешного обучения в школе</w:t>
      </w:r>
    </w:p>
    <w:p w:rsidR="008D628F" w:rsidRPr="00A35721" w:rsidRDefault="008D628F" w:rsidP="008D628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предметно-пространственной развивающей среды ДОУ в условиях реализации ФГОС. </w:t>
      </w:r>
      <w:r w:rsidRPr="000A5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(Подробный отчет о результатах контроля хранится в методическом кабинете у старшего воспитателя в папке «Контроль».)</w:t>
      </w:r>
    </w:p>
    <w:p w:rsidR="00A35721" w:rsidRPr="000A5C25" w:rsidRDefault="00A35721" w:rsidP="008D628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коррекционной работы в группах с тяжелыми нарушениями речи</w:t>
      </w:r>
    </w:p>
    <w:p w:rsidR="008D628F" w:rsidRPr="000A5C25" w:rsidRDefault="008D628F" w:rsidP="008D62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Обзорный смотр-контроль</w:t>
      </w: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«Готовность групп ДОУ к новому учебному году»,  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 </w:t>
      </w:r>
    </w:p>
    <w:p w:rsidR="008D628F" w:rsidRPr="006E136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E13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D628F" w:rsidRPr="000A5C25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Сохранение и укрепление здоровья воспитанников</w:t>
      </w:r>
      <w:r w:rsidR="000A5C25"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 одно из направлений деятельности</w:t>
      </w: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учреждения. Анализируя работу по образовательной  области  «Физическое развитие» следует отметить, что работа ведется во всех возрастных группах. Кроме занятий физической культурой, ежедневно проводятся утренняя гимнастика (в холодный период – в зале, в теплый – на улице); после дневного сна проводится постепенное пробуждение с рядом закаливающих процедур. Для обеспечения воспитания здорового ребенка в нашем ДОУ используются все средства физического воспитания: физические упражнения, обеспечивающие оптимальный двигательный режим, закаливающие мероприятия, рациональный режим дня, полноценное питание, личная гигиена,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сборы детей проходят организованно, в соответствии с режимом. Обязанности воспитателей и младших воспитателей распределяются согласованно, поэтому дети выходят на прогулку постепенно, не допуская ожидания и перегрева (в младших группах с первой подгруппой выходит воспитатель, младший воспитатель вторую подгруппу подводит). 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8D628F" w:rsidRPr="000A5C25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 Для закаливающего эффекта на физкультурных занятиях   используется облегченная форма одежды.</w:t>
      </w:r>
    </w:p>
    <w:p w:rsidR="008D628F" w:rsidRPr="000A5C25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3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памятки, буклеты, родительские собрания, совместное проведение спортивных праздников. Просветительская работа для родителей осуществлялась через информационные стенды «Здоровье и спорт», а  также папки-передвижки в раздевалках групп. Информация для родителей менялась ежемесячно: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«Советы  родителям от инструктора по физической культуре».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 внимания осанке и плоскостопию».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утренней зарядки в жизни ребенка».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с детьми в зимнее время на улице».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занятий физической культурой на умственные способности детей».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компьютера на здоровье ребенка».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на свежем  воздухе весной».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«Рациональное дыхание».</w:t>
      </w:r>
    </w:p>
    <w:p w:rsidR="008D628F" w:rsidRPr="000A5C25" w:rsidRDefault="008D628F" w:rsidP="008D628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«Игры  для детей летом».</w:t>
      </w:r>
    </w:p>
    <w:p w:rsidR="008D628F" w:rsidRPr="005E1798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работы в адаптационный период в группе раннего развития.</w:t>
      </w:r>
      <w:r w:rsidRPr="005E17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Выявлены положительные результаты контроля за деятельностью педагогов в адаптационный период: проводилась большая разъяснительная работа с родителями, целесообразно применялся щадящий режим, в основном наблюдалась  адаптация лёгкой степени,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 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режим, на прогулках принимали активное участие в подвижных играх.</w:t>
      </w:r>
    </w:p>
    <w:p w:rsid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организации подготовки детей к школе в подготовительных к школе группах</w:t>
      </w:r>
      <w:r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 достаточно высокий уровень компетентности педагогов и  мотивационную готовность  дошкольников, поступающих в первый класс.  Педагоги данных возрастных групп продемонстрировали хороший уровень организации самостоятельной деятельности детей по данному разделу, использование разнообразных методов и приёмов в работе, создали соответствующую предметно-пространственную развивающую среду в группах. 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НОД, экскурсии) проводятся в системе, с творческим подходом, продумана взаимосвязь с другими видами деятельности (продуктивная, чтение художественной литературы). Из бесед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достаточных знаний детей о школе. Педагоги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и  оформляли консультации в стендовой информации в своих группах. Всё это позволяет прогнозировать высокую степень готовности выпускников  к школе.</w:t>
      </w:r>
    </w:p>
    <w:p w:rsidR="00C54D87" w:rsidRDefault="00C54D87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 в ДОО</w:t>
      </w:r>
    </w:p>
    <w:p w:rsidR="00C54D87" w:rsidRPr="00C54D87" w:rsidRDefault="00C54D87" w:rsidP="00C54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2022-2023 учебном году педагогический коллектив активно работал по внедрению новых программ и технологий. Так расширяется охват дошкольных групп программой социокультурной направленности «Истоки», учреждение с 2022 года является пилотной площадкой издательства «Русское слово» по апробации комплексной программы для детей раннего дошкольного возраста «Первые шаги», первые положительные результаты по подготовке к обучению грамоте дали те группы, которые внедряют парциальную программу Е.Колесниковой «От звука к букве», в 2023 году учреждение стало пилотной площадкой издательства «Вита пресс» по апробации прогрммы «Азы финансовой грамотности».  </w:t>
      </w:r>
    </w:p>
    <w:p w:rsidR="008D628F" w:rsidRPr="000E7DFD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Обеспеченность пед</w:t>
      </w:r>
      <w:r w:rsidR="00CF15D2" w:rsidRPr="000E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агогическими кадрами на 01.06.2022</w:t>
      </w:r>
      <w:r w:rsidRPr="000E7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8D628F" w:rsidRPr="000E7DFD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На сегодняшний день в </w:t>
      </w:r>
      <w:r w:rsidR="00CF15D2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комбинированного вида п.Чагода»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 профессиональный и образованный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 уверены в себе, мотивированы на получение кач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ественного результата, 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</w:t>
      </w:r>
      <w:r w:rsidR="00CF15D2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тивны, активны, компетентны.</w:t>
      </w:r>
      <w:r w:rsid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31 педагог.</w:t>
      </w:r>
    </w:p>
    <w:p w:rsidR="008D628F" w:rsidRPr="000E7DFD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решением воспитательно-образовательных задач в течение всего года работали квалифицированные педагоги и специалисты: старший воспитатель - 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1,  музыкальный руководитель - 4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инструктор по ф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изической культуре - 1,  учитель-логопед - 2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педагог-пси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</w:t>
      </w:r>
      <w:r w:rsidR="00C54D87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1, воспитатели групп - 23</w:t>
      </w: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статус педагогов со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4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тавляет: высшее образование – 15 человек (48%); среднее специальное – 16 человек (5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%). Администрация  детского сада продолжает  работу с кадрами в ДОУ по повышению образовательного статуса работников.  </w:t>
      </w:r>
    </w:p>
    <w:p w:rsidR="00C54D87" w:rsidRPr="00FF7085" w:rsidRDefault="00C54D87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моложе 35 лет в учреждении 4 (13% от общего количества), педагогических работников старше 55 лет 7 человек (23%).</w:t>
      </w:r>
    </w:p>
    <w:p w:rsidR="008D628F" w:rsidRPr="00D80FAD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 постоянно повышают уровень профессиональной компетентности, который </w:t>
      </w:r>
      <w:r w:rsidR="00D80FAD"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 высшая категория – 11 человек (35</w:t>
      </w:r>
      <w:r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1 категория – </w:t>
      </w:r>
      <w:r w:rsidR="00D80FAD"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человек (46</w:t>
      </w:r>
      <w:r w:rsidR="00FF7085"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>%); без категории (соотве</w:t>
      </w:r>
      <w:r w:rsidR="00D80FAD"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тсвие занимаемой должности)  - 6 человека (19</w:t>
      </w:r>
      <w:r w:rsidRPr="00D80FAD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D628F" w:rsidRPr="000E7DFD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 процента квалифицированных работников в ДОУ на новый учебный год планируется увеличить количество аттестуемых на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</w:t>
      </w:r>
      <w:r w:rsid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первую</w:t>
      </w:r>
      <w:r w:rsidR="000E7DFD" w:rsidRPr="000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категорию.</w:t>
      </w:r>
    </w:p>
    <w:p w:rsidR="008D628F" w:rsidRPr="00D92500" w:rsidRDefault="00C54D87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2022-2023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рамках реализации</w:t>
      </w:r>
      <w:r w:rsidR="008D628F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="008D628F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 </w:t>
      </w:r>
      <w:r w:rsidR="008D628F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</w:t>
      </w:r>
      <w:r w:rsidR="00FF7085" w:rsidRPr="00FF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курсы повышения квалификации</w:t>
      </w:r>
      <w:r w:rsidR="00FF7085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628F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 постоянно повышали свое м</w:t>
      </w:r>
      <w:r w:rsidR="00FF7085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астерство на различных муниципальных </w:t>
      </w:r>
      <w:r w:rsidR="008D628F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</w:t>
      </w:r>
      <w:r w:rsidR="00FF7085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</w:t>
      </w:r>
      <w:r w:rsidR="00D92500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 выступали на семинарах, круглых столах, координационных советах и др.</w:t>
      </w:r>
      <w:r w:rsidR="008D628F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для повышения уровня педагогической компетенции, обмена опытом участвовали в мастер-классах, семинарах на педагогических советах ДОУ, посещали непосредственно образовательную деятельность коллег.</w:t>
      </w:r>
    </w:p>
    <w:p w:rsidR="008D628F" w:rsidRPr="00CB7A79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являлись участниками </w:t>
      </w:r>
      <w:r w:rsidR="00CB7A79"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победителями </w:t>
      </w: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конкурсов:</w:t>
      </w:r>
    </w:p>
    <w:p w:rsidR="00D92500" w:rsidRPr="00CB7A79" w:rsidRDefault="00DB6FAD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Муниципальных: «Открытый урок/открытое занятие», «Воспитатель года», «Лучший мастер-класс», «Фестиваль педагогических идей», Педагогические чтения, фестиваль лучших практик дополнительного образования, приняли активное участие в региональном методическом дне, в межрегиональном конкурсе «Шаг в будущее», «Дошкольник в мире профессий»</w:t>
      </w:r>
      <w:r w:rsidR="00CB7A79"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8D628F" w:rsidRPr="00CB7A79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вместе со своими воспитанниками педагоги приняли участие в следующих творческих конкурсах:</w:t>
      </w:r>
    </w:p>
    <w:p w:rsidR="00DB6FAD" w:rsidRPr="00CB7A79" w:rsidRDefault="00DB6FAD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– «Лес в творчестве юных», «Светофор собирает друзей». «Рождество Христово-вечной жизни свет». «зеленая планета»,» «Пожарная безопасность в лесу», «Сувенир ветерану</w:t>
      </w:r>
      <w:r w:rsidR="00CB7A79"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«Природа и творчество» и др.</w:t>
      </w:r>
    </w:p>
    <w:p w:rsidR="00DB6FAD" w:rsidRPr="00CB7A79" w:rsidRDefault="00DB6FAD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- «Кукольная история», конкурс методических разработок «Я гражданин России», конкурс технического творчества «От идеи до реализации», «Новогодние фантазии»,</w:t>
      </w:r>
      <w:r w:rsidR="00CB7A79" w:rsidRPr="00CB7A79">
        <w:rPr>
          <w:rFonts w:ascii="Times New Roman" w:eastAsia="Times New Roman" w:hAnsi="Times New Roman" w:cs="Times New Roman"/>
          <w:sz w:val="24"/>
          <w:szCs w:val="24"/>
          <w:lang w:eastAsia="ru-RU"/>
        </w:rPr>
        <w:t>»Удивительный мир Вологодчины». , «Техностарт», «Отходам –нет» и др.</w:t>
      </w:r>
    </w:p>
    <w:p w:rsidR="008D628F" w:rsidRPr="00D92500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Выводы:</w:t>
      </w:r>
      <w:r w:rsidRPr="00D92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состав в ДОУ соответствует требованиям осуществления воспитательно-образовательного процесса</w:t>
      </w:r>
      <w:r w:rsidR="00D92500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положительными моментами в работе педагогического коллектива есть и недостатки:</w:t>
      </w:r>
    </w:p>
    <w:p w:rsidR="008D628F" w:rsidRPr="00D92500" w:rsidRDefault="008D628F" w:rsidP="008D628F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педагоги применяют в воспитательно-образовательной работе инновационные технологии;</w:t>
      </w:r>
    </w:p>
    <w:p w:rsidR="008D628F" w:rsidRPr="00D92500" w:rsidRDefault="008D628F" w:rsidP="008D628F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пед</w:t>
      </w:r>
      <w:r w:rsidR="00D92500"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 подходят к </w:t>
      </w: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творчески;</w:t>
      </w:r>
    </w:p>
    <w:p w:rsidR="008D628F" w:rsidRPr="00D92500" w:rsidRDefault="008D628F" w:rsidP="008D628F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педагоги, которые недостаточно хорошо владеют компьютерной техникой;</w:t>
      </w:r>
    </w:p>
    <w:p w:rsidR="008D628F" w:rsidRPr="00D92500" w:rsidRDefault="008D628F" w:rsidP="00D9250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28F" w:rsidRPr="00D92500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8D628F" w:rsidRPr="00A9025F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программы по всем образовательным областям</w:t>
      </w:r>
    </w:p>
    <w:p w:rsidR="008D628F" w:rsidRPr="00A9025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работы педагогического коллектива </w:t>
      </w:r>
      <w:r w:rsidR="00A9025F"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комбинированного вида п.Чагода» </w:t>
      </w:r>
      <w:r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диагностических данных усвоения детьми программного материала, как у воспитателей, так и у специалистов.</w:t>
      </w:r>
    </w:p>
    <w:p w:rsidR="008D628F" w:rsidRPr="006E136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в год во всех группах проводился мониторинг воспитательно-образовательного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  <w:r w:rsidRPr="006E13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D628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 </w:t>
      </w:r>
    </w:p>
    <w:p w:rsidR="00CB7A79" w:rsidRDefault="00CB7A79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79" w:rsidRDefault="00CB7A79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1026"/>
        <w:gridCol w:w="743"/>
        <w:gridCol w:w="601"/>
        <w:gridCol w:w="586"/>
        <w:gridCol w:w="556"/>
        <w:gridCol w:w="601"/>
        <w:gridCol w:w="586"/>
        <w:gridCol w:w="556"/>
        <w:gridCol w:w="601"/>
        <w:gridCol w:w="586"/>
        <w:gridCol w:w="556"/>
        <w:gridCol w:w="601"/>
        <w:gridCol w:w="586"/>
        <w:gridCol w:w="556"/>
        <w:gridCol w:w="601"/>
        <w:gridCol w:w="586"/>
        <w:gridCol w:w="556"/>
      </w:tblGrid>
      <w:tr w:rsidR="00DC10A8" w:rsidRPr="004E3C02" w:rsidTr="003F1CCA">
        <w:tc>
          <w:tcPr>
            <w:tcW w:w="102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 w:rsidRPr="004E3C02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43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 w:rsidRPr="004E3C02">
              <w:rPr>
                <w:rFonts w:ascii="Times New Roman" w:hAnsi="Times New Roman" w:cs="Times New Roman"/>
              </w:rPr>
              <w:t xml:space="preserve">Количество выпускников </w:t>
            </w:r>
          </w:p>
        </w:tc>
        <w:tc>
          <w:tcPr>
            <w:tcW w:w="1743" w:type="dxa"/>
            <w:gridSpan w:val="3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 w:rsidRPr="004E3C02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43" w:type="dxa"/>
            <w:gridSpan w:val="3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743" w:type="dxa"/>
            <w:gridSpan w:val="3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43" w:type="dxa"/>
            <w:gridSpan w:val="3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 w:rsidR="00A35721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743" w:type="dxa"/>
            <w:gridSpan w:val="3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DC10A8" w:rsidRPr="004E3C02" w:rsidTr="003F1CCA">
        <w:tc>
          <w:tcPr>
            <w:tcW w:w="1026" w:type="dxa"/>
            <w:vMerge w:val="restart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МБДОУ «Детский сад комбинированного вида п. Чагода»</w:t>
            </w:r>
          </w:p>
        </w:tc>
        <w:tc>
          <w:tcPr>
            <w:tcW w:w="743" w:type="dxa"/>
          </w:tcPr>
          <w:p w:rsidR="00DC10A8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58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55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01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58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55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01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58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55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01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58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55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01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58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556" w:type="dxa"/>
          </w:tcPr>
          <w:p w:rsidR="00DC10A8" w:rsidRPr="004E3C02" w:rsidRDefault="00DC10A8" w:rsidP="00FD5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C02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</w:tr>
      <w:tr w:rsidR="00DC10A8" w:rsidRPr="000E4FCF" w:rsidTr="003F1CCA">
        <w:tc>
          <w:tcPr>
            <w:tcW w:w="1026" w:type="dxa"/>
            <w:vMerge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3" w:type="dxa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601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" w:type="dxa"/>
          </w:tcPr>
          <w:p w:rsidR="00DC10A8" w:rsidRPr="000E4FCF" w:rsidRDefault="00DC10A8" w:rsidP="00FD56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10A8" w:rsidTr="003F1CCA">
        <w:tc>
          <w:tcPr>
            <w:tcW w:w="1026" w:type="dxa"/>
            <w:vMerge/>
          </w:tcPr>
          <w:p w:rsidR="00DC10A8" w:rsidRDefault="00DC10A8" w:rsidP="00FD56D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43" w:type="dxa"/>
          </w:tcPr>
          <w:p w:rsidR="00DC10A8" w:rsidRDefault="00DC10A8" w:rsidP="00FD56D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3C02">
              <w:rPr>
                <w:rFonts w:ascii="Times New Roman" w:hAnsi="Times New Roman" w:cs="Times New Roman"/>
                <w:sz w:val="24"/>
              </w:rPr>
              <w:t>Доля (%)</w:t>
            </w:r>
          </w:p>
        </w:tc>
        <w:tc>
          <w:tcPr>
            <w:tcW w:w="601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8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1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8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5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1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8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5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1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8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5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1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8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6" w:type="dxa"/>
            <w:vAlign w:val="center"/>
          </w:tcPr>
          <w:p w:rsidR="00DC10A8" w:rsidRPr="000E4FCF" w:rsidRDefault="00A35721" w:rsidP="00FD5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B7A79" w:rsidRPr="00A9025F" w:rsidRDefault="00CB7A79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28F" w:rsidRPr="00DC10A8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освоения образовательных областей</w:t>
      </w:r>
    </w:p>
    <w:p w:rsidR="008D628F" w:rsidRPr="006E136F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D628F" w:rsidRPr="00DA2CF0" w:rsidRDefault="008D628F" w:rsidP="008D62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свидетельствует о положительной динамике в развитии детей ДОУ, а также о том, что в основе организации воспитательно-образовательного процесса ведущее место занимает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в соответствии с возрастными и индивидуальными особенностями.</w:t>
      </w:r>
    </w:p>
    <w:p w:rsidR="008D628F" w:rsidRPr="00DA2CF0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Та</w:t>
      </w:r>
      <w:r w:rsidR="00DA2CF0"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образом, взаимный просмотр </w:t>
      </w: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проведение открытых мероприятий в течение года, результаты контроля, данные диагностики позволяют сделать выводы о системном и интегрированном  подходе в воспитании и обучении детей дошкольного возраста.</w:t>
      </w:r>
    </w:p>
    <w:p w:rsidR="008D628F" w:rsidRPr="00DA2CF0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Проанализировав данные по выполнению программы, следует отметить, что есть направления работы, над которыми необходимо вести более углубленную работу: </w:t>
      </w:r>
      <w:r w:rsidRPr="00DA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речевому развитию</w:t>
      </w: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работа со звуковой культурой речи; </w:t>
      </w:r>
      <w:r w:rsidRPr="00DA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художественно-эстетическому развитию</w:t>
      </w: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оптимизировать  рабо</w:t>
      </w:r>
      <w:r w:rsid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ознакомлению с искусством и театрализованную деятельность,</w:t>
      </w:r>
      <w:r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театральной, создать условия  для приобретения ребёнк</w:t>
      </w:r>
      <w:r w:rsidR="00DA2CF0" w:rsidRPr="00DA2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 возможностей самовыражения.</w:t>
      </w:r>
    </w:p>
    <w:p w:rsidR="008D628F" w:rsidRPr="006E136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E13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</w:t>
      </w:r>
    </w:p>
    <w:p w:rsidR="008D628F" w:rsidRPr="00F17873" w:rsidRDefault="008D628F" w:rsidP="008D6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с родителями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firstLine="4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 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8D628F" w:rsidRPr="00F17873" w:rsidRDefault="008D628F" w:rsidP="008D628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семей воспитанников;</w:t>
      </w:r>
    </w:p>
    <w:p w:rsidR="008D628F" w:rsidRPr="00F17873" w:rsidRDefault="008D628F" w:rsidP="008D628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по повышению психолого-педагогической культуры родителей;</w:t>
      </w:r>
    </w:p>
    <w:p w:rsidR="008D628F" w:rsidRPr="00F17873" w:rsidRDefault="008D628F" w:rsidP="008D628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</w:t>
      </w: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выставок детского рисунка, совместного просмотра театрализованной деятельности).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учебного года педагоги дошкольного учреждения проводили большую работу по повышению психолого-пе</w:t>
      </w:r>
      <w:r w:rsidR="00F17873"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дагогической культуры родителей.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firstLine="4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дошкольного учреждения строилась на:</w:t>
      </w:r>
    </w:p>
    <w:p w:rsidR="008D628F" w:rsidRPr="00F17873" w:rsidRDefault="008D628F" w:rsidP="008D628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партнерских отношений с семьей каждого воспитанника;</w:t>
      </w:r>
    </w:p>
    <w:p w:rsidR="008D628F" w:rsidRPr="00F17873" w:rsidRDefault="008D628F" w:rsidP="008D628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 усилий для развития и воспитания детей;</w:t>
      </w:r>
    </w:p>
    <w:p w:rsidR="008D628F" w:rsidRPr="00F17873" w:rsidRDefault="008D628F" w:rsidP="008D628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атмосферы общности интересов, эмоциональной взаимоподдержки и взаимопроникновения в проблемы друг друга;</w:t>
      </w:r>
    </w:p>
    <w:p w:rsidR="008D628F" w:rsidRPr="00F17873" w:rsidRDefault="008D628F" w:rsidP="008D628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Особое внимание уделялось организации индивидуальных консультаций и доверительных бесед по инициати</w:t>
      </w:r>
      <w:r w:rsidR="00F17873"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родителей, педагогов</w:t>
      </w: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  работал консультационный пункт, где родители могли получить необходимый совет, помощь от   специалистов, работающих в детском саду. 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  <w:r w:rsidR="00F17873"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удовлетворяет родителей по результатам анкетирования- материальное оснащение групп и прогулочных участков.</w:t>
      </w:r>
    </w:p>
    <w:p w:rsidR="008D628F" w:rsidRPr="00F17873" w:rsidRDefault="008D628F" w:rsidP="008D628F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17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Вывод:</w:t>
      </w:r>
      <w:r w:rsidRPr="00F1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Вся работа детского сада строилась на установлении детско-родительско - педагогического партнёрства, объединении усилий для развития и воспитания детей, создании атмосферы общности интересов, эмоциональной взаимоподдержки.</w:t>
      </w:r>
    </w:p>
    <w:p w:rsidR="008D628F" w:rsidRPr="00727C21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Выводы: </w:t>
      </w:r>
      <w:r w:rsidRPr="00727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</w:t>
      </w:r>
      <w:r w:rsid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коллектива ДОУ в течение 2022-2023</w:t>
      </w:r>
      <w:r w:rsidRPr="0072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8D628F" w:rsidRPr="0011324F" w:rsidRDefault="008D628F" w:rsidP="008D628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8D628F" w:rsidRPr="0011324F" w:rsidRDefault="008D628F" w:rsidP="008D628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игровой, поисковой, экспериментальной деятельности дошкольников;</w:t>
      </w:r>
    </w:p>
    <w:p w:rsidR="008D628F" w:rsidRPr="0011324F" w:rsidRDefault="008D628F" w:rsidP="008D628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педагогической компетентности в вопросах организации работы  в условиях реализации ФГОС дошкольного образования в ДОУ.</w:t>
      </w:r>
    </w:p>
    <w:p w:rsidR="008D628F" w:rsidRPr="0011324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вышеизложенным на следующий учебный год мы ставим перед собой следующие цель и задачи.</w:t>
      </w:r>
    </w:p>
    <w:p w:rsidR="008D628F" w:rsidRPr="0011324F" w:rsidRDefault="008D628F" w:rsidP="008D6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8D628F" w:rsidRPr="0011324F" w:rsidRDefault="008D628F" w:rsidP="008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Задачи:</w:t>
      </w:r>
    </w:p>
    <w:p w:rsidR="00E327FE" w:rsidRPr="00E327FE" w:rsidRDefault="00A35721" w:rsidP="00A3572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="008D628F" w:rsidRPr="00113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E327FE" w:rsidRPr="0011324F" w:rsidRDefault="00A35721" w:rsidP="00A3572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Федеральную образовательную программу дошкольного образования в полном объеме.</w:t>
      </w:r>
    </w:p>
    <w:p w:rsidR="008D628F" w:rsidRPr="00E327FE" w:rsidRDefault="00A35721" w:rsidP="00E32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E327FE" w:rsidRP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1324F" w:rsidRP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="00E327FE" w:rsidRP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r w:rsidR="0011324F" w:rsidRPr="00E3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дошкольников посредством театрализованной деятельности.</w:t>
      </w:r>
    </w:p>
    <w:p w:rsidR="008D628F" w:rsidRDefault="00A35721" w:rsidP="00A35721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D628F" w:rsidRPr="00A35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речь воспитанников посредством разных видов деятельности.</w:t>
      </w:r>
    </w:p>
    <w:p w:rsidR="00A35721" w:rsidRDefault="00A35721" w:rsidP="00A35721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21" w:rsidRPr="00A35721" w:rsidRDefault="00A35721" w:rsidP="00A35721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нравственно патриотическое воспитание дошкольников в соответствии с ФОП дошкольного образования</w:t>
      </w:r>
    </w:p>
    <w:p w:rsidR="0011324F" w:rsidRDefault="0011324F" w:rsidP="00113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24F" w:rsidRDefault="0011324F" w:rsidP="00113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11324F" w:rsidRPr="0011324F" w:rsidRDefault="0011324F" w:rsidP="00113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комбинированного вида п.Чагода»   М.А.Малинина</w:t>
      </w:r>
    </w:p>
    <w:p w:rsidR="00217CB2" w:rsidRPr="006E136F" w:rsidRDefault="00A01CDD">
      <w:pPr>
        <w:rPr>
          <w:color w:val="FF0000"/>
        </w:rPr>
      </w:pPr>
    </w:p>
    <w:sectPr w:rsidR="00217CB2" w:rsidRPr="006E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0681"/>
    <w:multiLevelType w:val="multilevel"/>
    <w:tmpl w:val="6AD4A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42C41"/>
    <w:multiLevelType w:val="multilevel"/>
    <w:tmpl w:val="FD960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61B3"/>
    <w:multiLevelType w:val="multilevel"/>
    <w:tmpl w:val="AD00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0349A"/>
    <w:multiLevelType w:val="multilevel"/>
    <w:tmpl w:val="4A9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419EB"/>
    <w:multiLevelType w:val="multilevel"/>
    <w:tmpl w:val="F27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C7975"/>
    <w:multiLevelType w:val="multilevel"/>
    <w:tmpl w:val="A10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7D5B"/>
    <w:multiLevelType w:val="multilevel"/>
    <w:tmpl w:val="B1A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01805"/>
    <w:multiLevelType w:val="multilevel"/>
    <w:tmpl w:val="7F8218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E15F6"/>
    <w:multiLevelType w:val="multilevel"/>
    <w:tmpl w:val="7AA6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E4BF2"/>
    <w:multiLevelType w:val="multilevel"/>
    <w:tmpl w:val="8AA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3650D"/>
    <w:multiLevelType w:val="multilevel"/>
    <w:tmpl w:val="CA6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B5DAF"/>
    <w:multiLevelType w:val="multilevel"/>
    <w:tmpl w:val="8D7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92177"/>
    <w:multiLevelType w:val="hybridMultilevel"/>
    <w:tmpl w:val="2BE43FCC"/>
    <w:lvl w:ilvl="0" w:tplc="798C96A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C206D9"/>
    <w:multiLevelType w:val="multilevel"/>
    <w:tmpl w:val="BFC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A5ED0"/>
    <w:multiLevelType w:val="multilevel"/>
    <w:tmpl w:val="31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B544E"/>
    <w:multiLevelType w:val="multilevel"/>
    <w:tmpl w:val="0938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B6BE8"/>
    <w:multiLevelType w:val="multilevel"/>
    <w:tmpl w:val="09D81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20987"/>
    <w:multiLevelType w:val="multilevel"/>
    <w:tmpl w:val="796C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95E39"/>
    <w:multiLevelType w:val="multilevel"/>
    <w:tmpl w:val="F220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E3A92"/>
    <w:multiLevelType w:val="multilevel"/>
    <w:tmpl w:val="7D2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17046"/>
    <w:multiLevelType w:val="multilevel"/>
    <w:tmpl w:val="E83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31556"/>
    <w:multiLevelType w:val="multilevel"/>
    <w:tmpl w:val="50A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47C60"/>
    <w:multiLevelType w:val="multilevel"/>
    <w:tmpl w:val="954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483CF0"/>
    <w:multiLevelType w:val="multilevel"/>
    <w:tmpl w:val="27E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7"/>
  </w:num>
  <w:num w:numId="5">
    <w:abstractNumId w:val="20"/>
  </w:num>
  <w:num w:numId="6">
    <w:abstractNumId w:val="15"/>
  </w:num>
  <w:num w:numId="7">
    <w:abstractNumId w:val="7"/>
  </w:num>
  <w:num w:numId="8">
    <w:abstractNumId w:val="14"/>
  </w:num>
  <w:num w:numId="9">
    <w:abstractNumId w:val="18"/>
  </w:num>
  <w:num w:numId="10">
    <w:abstractNumId w:val="21"/>
  </w:num>
  <w:num w:numId="11">
    <w:abstractNumId w:val="6"/>
  </w:num>
  <w:num w:numId="12">
    <w:abstractNumId w:val="4"/>
  </w:num>
  <w:num w:numId="13">
    <w:abstractNumId w:val="5"/>
  </w:num>
  <w:num w:numId="14">
    <w:abstractNumId w:val="23"/>
  </w:num>
  <w:num w:numId="15">
    <w:abstractNumId w:val="3"/>
  </w:num>
  <w:num w:numId="16">
    <w:abstractNumId w:val="11"/>
  </w:num>
  <w:num w:numId="17">
    <w:abstractNumId w:val="10"/>
  </w:num>
  <w:num w:numId="18">
    <w:abstractNumId w:val="22"/>
  </w:num>
  <w:num w:numId="19">
    <w:abstractNumId w:val="19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CE"/>
    <w:rsid w:val="000A5C25"/>
    <w:rsid w:val="000E7DFD"/>
    <w:rsid w:val="0011324F"/>
    <w:rsid w:val="00114A64"/>
    <w:rsid w:val="00133A18"/>
    <w:rsid w:val="00332462"/>
    <w:rsid w:val="00374963"/>
    <w:rsid w:val="003F1CCA"/>
    <w:rsid w:val="004828B6"/>
    <w:rsid w:val="00564BE4"/>
    <w:rsid w:val="005737D5"/>
    <w:rsid w:val="00582B45"/>
    <w:rsid w:val="005E1798"/>
    <w:rsid w:val="006963A3"/>
    <w:rsid w:val="006E136F"/>
    <w:rsid w:val="00727C21"/>
    <w:rsid w:val="008519E6"/>
    <w:rsid w:val="00884A89"/>
    <w:rsid w:val="008D628F"/>
    <w:rsid w:val="00A01CDD"/>
    <w:rsid w:val="00A35721"/>
    <w:rsid w:val="00A42454"/>
    <w:rsid w:val="00A9025F"/>
    <w:rsid w:val="00B1678B"/>
    <w:rsid w:val="00B52CF3"/>
    <w:rsid w:val="00C45B7A"/>
    <w:rsid w:val="00C54D87"/>
    <w:rsid w:val="00CB1BF1"/>
    <w:rsid w:val="00CB7A79"/>
    <w:rsid w:val="00CF15D2"/>
    <w:rsid w:val="00D56C4B"/>
    <w:rsid w:val="00D76BEB"/>
    <w:rsid w:val="00D80FAD"/>
    <w:rsid w:val="00D92500"/>
    <w:rsid w:val="00DA2CF0"/>
    <w:rsid w:val="00DB6FAD"/>
    <w:rsid w:val="00DC10A8"/>
    <w:rsid w:val="00E327FE"/>
    <w:rsid w:val="00E517C8"/>
    <w:rsid w:val="00EB42CE"/>
    <w:rsid w:val="00F17873"/>
    <w:rsid w:val="00F6723C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6E23-D13E-47A9-941A-CF152EDD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D5"/>
    <w:pPr>
      <w:ind w:left="720"/>
      <w:contextualSpacing/>
    </w:pPr>
  </w:style>
  <w:style w:type="table" w:styleId="a4">
    <w:name w:val="Table Grid"/>
    <w:basedOn w:val="a1"/>
    <w:uiPriority w:val="39"/>
    <w:rsid w:val="00DC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31</cp:revision>
  <cp:lastPrinted>2022-05-30T07:39:00Z</cp:lastPrinted>
  <dcterms:created xsi:type="dcterms:W3CDTF">2022-04-27T12:26:00Z</dcterms:created>
  <dcterms:modified xsi:type="dcterms:W3CDTF">2023-07-24T07:43:00Z</dcterms:modified>
</cp:coreProperties>
</file>